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0E" w:rsidRDefault="00930386">
      <w:pPr>
        <w:pStyle w:val="10"/>
        <w:framePr w:w="9486" w:h="575" w:hRule="exact" w:wrap="none" w:vAnchor="page" w:hAnchor="page" w:x="1743" w:y="1071"/>
        <w:shd w:val="clear" w:color="auto" w:fill="auto"/>
        <w:spacing w:after="0" w:line="520" w:lineRule="exact"/>
        <w:rPr>
          <w:sz w:val="36"/>
          <w:szCs w:val="36"/>
        </w:rPr>
      </w:pPr>
      <w:bookmarkStart w:id="0" w:name="bookmark0"/>
      <w:r w:rsidRPr="00160C9B">
        <w:rPr>
          <w:sz w:val="36"/>
          <w:szCs w:val="36"/>
        </w:rPr>
        <w:t>И</w:t>
      </w:r>
      <w:r w:rsidR="00160C9B">
        <w:rPr>
          <w:sz w:val="36"/>
          <w:szCs w:val="36"/>
        </w:rPr>
        <w:t>нформация</w:t>
      </w:r>
      <w:bookmarkEnd w:id="0"/>
      <w:r w:rsidR="00160C9B">
        <w:rPr>
          <w:sz w:val="36"/>
          <w:szCs w:val="36"/>
        </w:rPr>
        <w:t xml:space="preserve"> по оснащению транспортных средств</w:t>
      </w:r>
      <w:r w:rsidR="00763F0E">
        <w:rPr>
          <w:sz w:val="36"/>
          <w:szCs w:val="36"/>
        </w:rPr>
        <w:t xml:space="preserve"> </w:t>
      </w:r>
      <w:proofErr w:type="spellStart"/>
      <w:r w:rsidR="00763F0E">
        <w:rPr>
          <w:sz w:val="36"/>
          <w:szCs w:val="36"/>
        </w:rPr>
        <w:t>тахографами</w:t>
      </w:r>
      <w:proofErr w:type="spellEnd"/>
    </w:p>
    <w:p w:rsidR="00B13E1E" w:rsidRPr="00160C9B" w:rsidRDefault="00160C9B">
      <w:pPr>
        <w:pStyle w:val="10"/>
        <w:framePr w:w="9486" w:h="575" w:hRule="exact" w:wrap="none" w:vAnchor="page" w:hAnchor="page" w:x="1743" w:y="1071"/>
        <w:shd w:val="clear" w:color="auto" w:fill="auto"/>
        <w:spacing w:after="0" w:line="52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763F0E">
        <w:rPr>
          <w:sz w:val="36"/>
          <w:szCs w:val="36"/>
        </w:rPr>
        <w:t>тахографами</w:t>
      </w:r>
      <w:r>
        <w:rPr>
          <w:sz w:val="36"/>
          <w:szCs w:val="36"/>
        </w:rPr>
        <w:t>тахографами</w:t>
      </w:r>
      <w:proofErr w:type="spellEnd"/>
    </w:p>
    <w:p w:rsidR="00B13E1E" w:rsidRDefault="00930386">
      <w:pPr>
        <w:pStyle w:val="20"/>
        <w:framePr w:w="9486" w:h="11650" w:hRule="exact" w:wrap="none" w:vAnchor="page" w:hAnchor="page" w:x="1743" w:y="2164"/>
        <w:shd w:val="clear" w:color="auto" w:fill="auto"/>
        <w:spacing w:before="0"/>
      </w:pPr>
      <w:proofErr w:type="gramStart"/>
      <w:r>
        <w:t>ОГИБДД Межмуниципального отдела МВД России «Пучежский» информирует граждан о том</w:t>
      </w:r>
      <w:r w:rsidR="00160C9B">
        <w:t>,</w:t>
      </w:r>
      <w:r>
        <w:t xml:space="preserve"> что Приказами Минтранса России от 02.12.2015 № 348 и от 28.01.2016 № 16 внесены изменения в Порядок оснащения транспортных средств </w:t>
      </w:r>
      <w:proofErr w:type="spellStart"/>
      <w:r>
        <w:t>тахографами</w:t>
      </w:r>
      <w:proofErr w:type="spellEnd"/>
      <w:r>
        <w:t xml:space="preserve"> (утвержден приказом Минтранса России от 21.08.2013 № 273) и в Категории и виды транспортных средств, оснащаемых </w:t>
      </w:r>
      <w:proofErr w:type="spellStart"/>
      <w:r>
        <w:t>тахографами</w:t>
      </w:r>
      <w:proofErr w:type="spellEnd"/>
      <w:r>
        <w:t xml:space="preserve"> (утверждены приказом Минтранса России от 13.02.2013 № 36) в части, касающейся срока оснащения </w:t>
      </w:r>
      <w:proofErr w:type="spellStart"/>
      <w:r>
        <w:t>тахографами</w:t>
      </w:r>
      <w:proofErr w:type="spellEnd"/>
      <w:r>
        <w:t xml:space="preserve"> и перечня</w:t>
      </w:r>
      <w:proofErr w:type="gramEnd"/>
      <w:r>
        <w:t xml:space="preserve"> транспортных средств, подлежащих оснащению </w:t>
      </w:r>
      <w:proofErr w:type="spellStart"/>
      <w:r>
        <w:t>тахографами</w:t>
      </w:r>
      <w:proofErr w:type="spellEnd"/>
      <w:r>
        <w:t>.</w:t>
      </w:r>
    </w:p>
    <w:p w:rsidR="00B13E1E" w:rsidRDefault="00930386">
      <w:pPr>
        <w:pStyle w:val="20"/>
        <w:framePr w:w="9486" w:h="11650" w:hRule="exact" w:wrap="none" w:vAnchor="page" w:hAnchor="page" w:x="1743" w:y="2164"/>
        <w:shd w:val="clear" w:color="auto" w:fill="auto"/>
        <w:tabs>
          <w:tab w:val="left" w:pos="4676"/>
        </w:tabs>
        <w:spacing w:before="0"/>
      </w:pPr>
      <w:r>
        <w:t xml:space="preserve">При этом предельный срок оснащения аналоговыми контрольными устройствами (технические средства </w:t>
      </w:r>
      <w:proofErr w:type="gramStart"/>
      <w:r>
        <w:t>контроля за</w:t>
      </w:r>
      <w:proofErr w:type="gramEnd"/>
      <w:r>
        <w:t xml:space="preserve"> соблюдением водителями режимов движения, труда и отдыха, не обеспечивающие регистрацию информации на картах </w:t>
      </w:r>
      <w:proofErr w:type="spellStart"/>
      <w:r>
        <w:t>тахографа</w:t>
      </w:r>
      <w:proofErr w:type="spellEnd"/>
      <w:r>
        <w:t>, изготовленных в виде пластиковой карты с электронным носителем информации; и соответствующие требованиям</w:t>
      </w:r>
      <w:r w:rsidR="00160C9B">
        <w:t xml:space="preserve"> к</w:t>
      </w:r>
      <w:r>
        <w:rPr>
          <w:rStyle w:val="2Tahoma12pt"/>
        </w:rPr>
        <w:t xml:space="preserve">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средства) транспортных средств категорий </w:t>
      </w:r>
      <w:r>
        <w:rPr>
          <w:lang w:val="en-US" w:eastAsia="en-US" w:bidi="en-US"/>
        </w:rPr>
        <w:t>N</w:t>
      </w:r>
      <w:r w:rsidRPr="00160C9B">
        <w:rPr>
          <w:lang w:eastAsia="en-US" w:bidi="en-US"/>
        </w:rPr>
        <w:t xml:space="preserve">2 </w:t>
      </w:r>
      <w:r>
        <w:t>(Транспортные средства, предназначенные для перевозки грузов, имеющие технически допустимую максимальную массу свыше 3,5 тонн, но не более 12 тонн)</w:t>
      </w:r>
      <w:r w:rsidR="00160C9B">
        <w:t>,</w:t>
      </w:r>
      <w:r>
        <w:t xml:space="preserve"> </w:t>
      </w:r>
      <w:r>
        <w:rPr>
          <w:lang w:val="en-US" w:eastAsia="en-US" w:bidi="en-US"/>
        </w:rPr>
        <w:t>N</w:t>
      </w:r>
      <w:r w:rsidRPr="00160C9B">
        <w:rPr>
          <w:lang w:eastAsia="en-US" w:bidi="en-US"/>
        </w:rPr>
        <w:t xml:space="preserve">3 </w:t>
      </w:r>
      <w:r>
        <w:t>(Транспортные средства, предназначенные для перевозки грузов, имеющие технически допустимую максимальную массу более 12 тонн), М</w:t>
      </w:r>
      <w:proofErr w:type="gramStart"/>
      <w:r>
        <w:t>2</w:t>
      </w:r>
      <w:proofErr w:type="gramEnd"/>
      <w:r>
        <w:t xml:space="preserve"> (Транспортные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не превышает 5 тонн), М3 (Транспортные средства, используемые для перевозки пассажиров, имеющие, помимо места водителя, более восьми</w:t>
      </w:r>
      <w:bookmarkStart w:id="1" w:name="_GoBack"/>
      <w:bookmarkEnd w:id="1"/>
      <w:r>
        <w:t xml:space="preserve"> мест для сидения, технически допустимая максимальная масса которых превышает 5 тонн), осуществляющих внутрироссийские перевозки, установлен до 1 июля 2016 года</w:t>
      </w:r>
      <w:r w:rsidR="00160C9B">
        <w:t>.</w:t>
      </w:r>
    </w:p>
    <w:p w:rsidR="00B13E1E" w:rsidRPr="00763F0E" w:rsidRDefault="00930386">
      <w:pPr>
        <w:pStyle w:val="20"/>
        <w:framePr w:w="9486" w:h="11650" w:hRule="exact" w:wrap="none" w:vAnchor="page" w:hAnchor="page" w:x="1743" w:y="2164"/>
        <w:shd w:val="clear" w:color="auto" w:fill="auto"/>
        <w:spacing w:before="0"/>
        <w:rPr>
          <w:lang w:eastAsia="en-US" w:bidi="en-US"/>
        </w:rPr>
      </w:pPr>
      <w:r>
        <w:t xml:space="preserve">С указанной даты транспортные средства, задействованные в процессе перевозок пассажиров и грузов на территории Российской Федерации, подлежат оснащению </w:t>
      </w:r>
      <w:proofErr w:type="spellStart"/>
      <w:r>
        <w:t>тахографами</w:t>
      </w:r>
      <w:proofErr w:type="spellEnd"/>
      <w:r>
        <w:t>, соответствующими требованиям приказа Минтранса России от 28.0</w:t>
      </w:r>
      <w:r w:rsidR="00160C9B">
        <w:t>1</w:t>
      </w:r>
      <w:r>
        <w:t>.2016 г, №</w:t>
      </w:r>
      <w:r w:rsidR="00160C9B">
        <w:t xml:space="preserve"> </w:t>
      </w:r>
      <w:r>
        <w:t>36 и сведения о которых включены ФБУ «</w:t>
      </w:r>
      <w:proofErr w:type="spellStart"/>
      <w:r>
        <w:t>Росавтотранс</w:t>
      </w:r>
      <w:proofErr w:type="spellEnd"/>
      <w:r>
        <w:t xml:space="preserve">» в перечень сведений о моделях </w:t>
      </w:r>
      <w:proofErr w:type="spellStart"/>
      <w:r>
        <w:t>тахографов</w:t>
      </w:r>
      <w:proofErr w:type="spellEnd"/>
      <w:r>
        <w:t xml:space="preserve"> (размещен в открытом доступе на сайте </w:t>
      </w:r>
      <w:proofErr w:type="spellStart"/>
      <w:r>
        <w:rPr>
          <w:lang w:val="en-US" w:eastAsia="en-US" w:bidi="en-US"/>
        </w:rPr>
        <w:t>rosavtotransport</w:t>
      </w:r>
      <w:proofErr w:type="spellEnd"/>
      <w:r w:rsidRPr="00160C9B">
        <w:rPr>
          <w:lang w:eastAsia="en-US" w:bidi="en-US"/>
        </w:rPr>
        <w:t>.</w:t>
      </w:r>
      <w:proofErr w:type="spellStart"/>
      <w:r w:rsidR="00160C9B">
        <w:rPr>
          <w:lang w:val="en-US" w:eastAsia="en-US" w:bidi="en-US"/>
        </w:rPr>
        <w:t>ru</w:t>
      </w:r>
      <w:proofErr w:type="spellEnd"/>
      <w:r w:rsidRPr="00160C9B">
        <w:rPr>
          <w:lang w:eastAsia="en-US" w:bidi="en-US"/>
        </w:rPr>
        <w:t>)</w:t>
      </w:r>
    </w:p>
    <w:p w:rsidR="00160C9B" w:rsidRPr="00763F0E" w:rsidRDefault="00160C9B">
      <w:pPr>
        <w:pStyle w:val="20"/>
        <w:framePr w:w="9486" w:h="11650" w:hRule="exact" w:wrap="none" w:vAnchor="page" w:hAnchor="page" w:x="1743" w:y="2164"/>
        <w:shd w:val="clear" w:color="auto" w:fill="auto"/>
        <w:spacing w:before="0"/>
        <w:rPr>
          <w:lang w:eastAsia="en-US" w:bidi="en-US"/>
        </w:rPr>
      </w:pPr>
    </w:p>
    <w:p w:rsidR="00160C9B" w:rsidRDefault="00160C9B">
      <w:pPr>
        <w:pStyle w:val="20"/>
        <w:framePr w:w="9486" w:h="11650" w:hRule="exact" w:wrap="none" w:vAnchor="page" w:hAnchor="page" w:x="1743" w:y="2164"/>
        <w:shd w:val="clear" w:color="auto" w:fill="auto"/>
        <w:spacing w:before="0"/>
        <w:rPr>
          <w:b/>
          <w:lang w:eastAsia="en-US" w:bidi="en-US"/>
        </w:rPr>
      </w:pPr>
      <w:r w:rsidRPr="00763F0E">
        <w:rPr>
          <w:b/>
          <w:lang w:eastAsia="en-US" w:bidi="en-US"/>
        </w:rPr>
        <w:t>Госавтоинспекция</w:t>
      </w:r>
    </w:p>
    <w:p w:rsidR="00B13E1E" w:rsidRPr="00160C9B" w:rsidRDefault="009B0906" w:rsidP="009B0906">
      <w:pPr>
        <w:framePr w:w="9486" w:h="11650" w:hRule="exact" w:wrap="none" w:vAnchor="page" w:hAnchor="page" w:x="1743" w:y="2164"/>
        <w:widowControl/>
        <w:spacing w:line="276" w:lineRule="auto"/>
        <w:jc w:val="both"/>
        <w:rPr>
          <w:sz w:val="2"/>
          <w:szCs w:val="2"/>
        </w:rPr>
      </w:pPr>
      <w:r w:rsidRPr="009B090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01 августа 2016 г. исх. № 315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</w:t>
      </w:r>
    </w:p>
    <w:sectPr w:rsidR="00B13E1E" w:rsidRPr="00160C9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05" w:rsidRDefault="00ED7705">
      <w:r>
        <w:separator/>
      </w:r>
    </w:p>
  </w:endnote>
  <w:endnote w:type="continuationSeparator" w:id="0">
    <w:p w:rsidR="00ED7705" w:rsidRDefault="00ED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05" w:rsidRDefault="00ED7705"/>
  </w:footnote>
  <w:footnote w:type="continuationSeparator" w:id="0">
    <w:p w:rsidR="00ED7705" w:rsidRDefault="00ED77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3E1E"/>
    <w:rsid w:val="00160C9B"/>
    <w:rsid w:val="00763F0E"/>
    <w:rsid w:val="00930386"/>
    <w:rsid w:val="009B0906"/>
    <w:rsid w:val="00B13E1E"/>
    <w:rsid w:val="00E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5FranklinGothicHeavy6pt0pt">
    <w:name w:val="Основной текст (5) + Franklin Gothic Heavy;6 pt;Курсив;Интервал 0 pt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Основной текст (2) + Tahoma;12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2Tahoma7pt">
    <w:name w:val="Основной текст (2) + Tahoma;7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85pt">
    <w:name w:val="Основной текст (2) + 8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b/>
      <w:bCs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80" w:line="0" w:lineRule="atLeast"/>
    </w:pPr>
    <w:rPr>
      <w:rFonts w:ascii="Franklin Gothic Heavy" w:eastAsia="Franklin Gothic Heavy" w:hAnsi="Franklin Gothic Heavy" w:cs="Franklin Gothic Heavy"/>
      <w:i/>
      <w:iCs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*****</cp:lastModifiedBy>
  <cp:revision>6</cp:revision>
  <dcterms:created xsi:type="dcterms:W3CDTF">2016-08-01T07:11:00Z</dcterms:created>
  <dcterms:modified xsi:type="dcterms:W3CDTF">2016-08-01T09:22:00Z</dcterms:modified>
</cp:coreProperties>
</file>