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7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2715"/>
        </w:tabs>
        <w:ind w:left="-142" w:hanging="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2020 и 2021 годов</w:t>
      </w:r>
    </w:p>
    <w:p w:rsidR="004517F0" w:rsidRDefault="004517F0" w:rsidP="004517F0">
      <w:pPr>
        <w:tabs>
          <w:tab w:val="left" w:pos="2580"/>
          <w:tab w:val="left" w:pos="3075"/>
          <w:tab w:val="right" w:pos="9072"/>
        </w:tabs>
        <w:rPr>
          <w:sz w:val="20"/>
          <w:lang w:eastAsia="ar-SA"/>
        </w:rPr>
      </w:pPr>
    </w:p>
    <w:tbl>
      <w:tblPr>
        <w:tblW w:w="14737" w:type="dxa"/>
        <w:tblInd w:w="113" w:type="dxa"/>
        <w:tblLook w:val="04A0" w:firstRow="1" w:lastRow="0" w:firstColumn="1" w:lastColumn="0" w:noHBand="0" w:noVBand="1"/>
      </w:tblPr>
      <w:tblGrid>
        <w:gridCol w:w="6516"/>
        <w:gridCol w:w="2320"/>
        <w:gridCol w:w="1018"/>
        <w:gridCol w:w="2341"/>
        <w:gridCol w:w="2542"/>
      </w:tblGrid>
      <w:tr w:rsidR="004517F0" w:rsidTr="004517F0">
        <w:trPr>
          <w:trHeight w:val="630"/>
        </w:trPr>
        <w:tc>
          <w:tcPr>
            <w:tcW w:w="6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rPr>
                <w:color w:val="000000"/>
                <w:sz w:val="24"/>
                <w:szCs w:val="24"/>
              </w:rPr>
            </w:pPr>
            <w:r>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Вид расхода</w:t>
            </w:r>
          </w:p>
        </w:tc>
        <w:tc>
          <w:tcPr>
            <w:tcW w:w="2341" w:type="dxa"/>
            <w:tcBorders>
              <w:top w:val="single" w:sz="4" w:space="0" w:color="000000"/>
              <w:left w:val="nil"/>
              <w:bottom w:val="single" w:sz="4" w:space="0" w:color="000000"/>
              <w:right w:val="nil"/>
            </w:tcBorders>
            <w:shd w:val="clear" w:color="auto" w:fill="FFFFFF"/>
            <w:vAlign w:val="center"/>
            <w:hideMark/>
          </w:tcPr>
          <w:p w:rsidR="004517F0" w:rsidRDefault="004517F0">
            <w:pPr>
              <w:rPr>
                <w:color w:val="000000"/>
                <w:sz w:val="24"/>
                <w:szCs w:val="24"/>
              </w:rPr>
            </w:pPr>
            <w:r>
              <w:rPr>
                <w:color w:val="000000"/>
                <w:sz w:val="24"/>
                <w:szCs w:val="24"/>
              </w:rPr>
              <w:t>Сумма на 2020 год</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7F0" w:rsidRDefault="004517F0">
            <w:pPr>
              <w:rPr>
                <w:color w:val="000000"/>
                <w:sz w:val="24"/>
                <w:szCs w:val="24"/>
              </w:rPr>
            </w:pPr>
            <w:r>
              <w:rPr>
                <w:color w:val="000000"/>
                <w:sz w:val="24"/>
                <w:szCs w:val="24"/>
              </w:rPr>
              <w:t>Сумма на 2021 год</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0100000000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6 100 434,62</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5 948 605,82</w:t>
            </w:r>
          </w:p>
        </w:tc>
      </w:tr>
      <w:tr w:rsidR="004517F0" w:rsidTr="004517F0">
        <w:trPr>
          <w:trHeight w:val="70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125 861,00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125 861,00</w:t>
            </w:r>
          </w:p>
        </w:tc>
      </w:tr>
      <w:tr w:rsidR="004517F0" w:rsidTr="004517F0">
        <w:trPr>
          <w:trHeight w:val="6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125 861,00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125 861,00</w:t>
            </w:r>
          </w:p>
        </w:tc>
      </w:tr>
      <w:tr w:rsidR="004517F0" w:rsidTr="004517F0">
        <w:trPr>
          <w:trHeight w:val="40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0110110240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16 421,00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16 421,00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0110120030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109 440,00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109 440,00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0120000000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2 455 342,80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2 543 821,11</w:t>
            </w:r>
          </w:p>
        </w:tc>
      </w:tr>
      <w:tr w:rsidR="004517F0" w:rsidTr="004517F0">
        <w:trPr>
          <w:trHeight w:val="97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2 455 342,80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2 543 821,11</w:t>
            </w:r>
          </w:p>
        </w:tc>
      </w:tr>
      <w:tr w:rsidR="004517F0" w:rsidTr="004517F0">
        <w:trPr>
          <w:trHeight w:val="109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20 000,00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437 541,10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437 541,10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172 495,00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172 495,00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1 384 861,13</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1 473 339,44</w:t>
            </w:r>
          </w:p>
        </w:tc>
      </w:tr>
      <w:tr w:rsidR="004517F0" w:rsidTr="004517F0">
        <w:trPr>
          <w:trHeight w:val="100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391 815,57</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391 815,57</w:t>
            </w:r>
          </w:p>
        </w:tc>
      </w:tr>
      <w:tr w:rsidR="004517F0" w:rsidTr="004517F0">
        <w:trPr>
          <w:trHeight w:val="42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8 630,00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8 630,00</w:t>
            </w:r>
          </w:p>
        </w:tc>
      </w:tr>
      <w:tr w:rsidR="004517F0" w:rsidTr="004517F0">
        <w:trPr>
          <w:trHeight w:val="100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0120110250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40 000,00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0130000000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2 313 753,71</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2 073 446,60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2 313 753,71</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2 073 446,60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1 537 115,90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1 199 234,97</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776 637,81</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874 211,63</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89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Мероприятия по обеспечению безопасности дорожного движения (замена дорожных знаков, проекты безопасности дородного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0130110260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0140000000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842 929,78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842 929,78</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0140100000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842 929,78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842 929,78</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0140110100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842 929,78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842 929,78</w:t>
            </w:r>
          </w:p>
        </w:tc>
      </w:tr>
      <w:tr w:rsidR="004517F0" w:rsidTr="004517F0">
        <w:trPr>
          <w:trHeight w:val="72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0150000000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229 547,33</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229 547,33</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229 547,33</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229 547,33</w:t>
            </w:r>
          </w:p>
        </w:tc>
      </w:tr>
      <w:tr w:rsidR="004517F0" w:rsidTr="004517F0">
        <w:trPr>
          <w:trHeight w:val="1401"/>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0150110130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40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9 698,00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9 698,00</w:t>
            </w:r>
          </w:p>
        </w:tc>
      </w:tr>
      <w:tr w:rsidR="004517F0" w:rsidTr="004517F0">
        <w:trPr>
          <w:trHeight w:val="1993"/>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0150110430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157 849,33</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157 849,33</w:t>
            </w:r>
          </w:p>
        </w:tc>
      </w:tr>
      <w:tr w:rsidR="004517F0" w:rsidTr="004517F0">
        <w:trPr>
          <w:trHeight w:val="142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0150110440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62 000,00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0160000000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133 000,00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133 000,00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"Энергосбережение и повышение энергетической эффективности"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0160100000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133 000,00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133 000,00</w:t>
            </w:r>
          </w:p>
        </w:tc>
      </w:tr>
      <w:tr w:rsidR="004517F0" w:rsidTr="004517F0">
        <w:trPr>
          <w:trHeight w:val="111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0160100110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133 000,00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133 000,00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0180000000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"Поддержка граждан в улучшении жилищных условий"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0180100000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0180160030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89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кредитования или на погашение основной суммы долга и уплаты процентов по ипотечному жилищному кредиту (социальное обеспечение и иные выплаты населению)</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01801S3100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31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FF0000"/>
                <w:sz w:val="24"/>
                <w:szCs w:val="24"/>
              </w:rPr>
            </w:pPr>
            <w:r>
              <w:rPr>
                <w:i/>
                <w:iCs/>
                <w:color w:val="FF0000"/>
                <w:sz w:val="24"/>
                <w:szCs w:val="24"/>
              </w:rPr>
              <w:t>Подпрограмма "Обеспечение жильем молодых семей"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FF0000"/>
                <w:sz w:val="24"/>
                <w:szCs w:val="24"/>
              </w:rPr>
            </w:pPr>
            <w:r>
              <w:rPr>
                <w:color w:val="FF0000"/>
                <w:sz w:val="24"/>
                <w:szCs w:val="24"/>
              </w:rPr>
              <w:t>0190000000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FF0000"/>
                <w:sz w:val="24"/>
                <w:szCs w:val="24"/>
              </w:rPr>
            </w:pPr>
            <w:r>
              <w:rPr>
                <w:color w:val="FF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FF0000"/>
                <w:sz w:val="24"/>
                <w:szCs w:val="24"/>
              </w:rPr>
            </w:pPr>
            <w:r>
              <w:rPr>
                <w:color w:val="FF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FF0000"/>
                <w:sz w:val="24"/>
                <w:szCs w:val="24"/>
              </w:rPr>
            </w:pPr>
            <w:r>
              <w:rPr>
                <w:color w:val="FF0000"/>
                <w:sz w:val="24"/>
                <w:szCs w:val="24"/>
              </w:rPr>
              <w:t>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Основное мероприятие "Поддержка молодых семей в улучшении жилищных условий"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0190100000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0190160030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821"/>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01901L0200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0300000000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10 434 173,86</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10 215 679,35</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0310000000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5 956 620,00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5 832 120,00</w:t>
            </w:r>
          </w:p>
        </w:tc>
      </w:tr>
      <w:tr w:rsidR="004517F0" w:rsidTr="004517F0">
        <w:trPr>
          <w:trHeight w:val="69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5 956 620,00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5 832 120,00</w:t>
            </w:r>
          </w:p>
        </w:tc>
      </w:tr>
      <w:tr w:rsidR="004517F0" w:rsidTr="004517F0">
        <w:trPr>
          <w:trHeight w:val="1683"/>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2 947 057,99</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2 947 057,99</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2 090 586,80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1 966 086,80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4 800,00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505 000,00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505 000,00</w:t>
            </w:r>
          </w:p>
        </w:tc>
      </w:tr>
      <w:tr w:rsidR="004517F0" w:rsidTr="004517F0">
        <w:trPr>
          <w:trHeight w:val="1072"/>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Расходы на проведение концертов, спектаклей и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2222"/>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2538"/>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409 175,21</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409 175,21</w:t>
            </w:r>
          </w:p>
        </w:tc>
      </w:tr>
      <w:tr w:rsidR="004517F0" w:rsidTr="004517F0">
        <w:trPr>
          <w:trHeight w:val="31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"Развитие библиотечного дела"</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0320000000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2 919 329,77</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2 858 135,26</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организации библиотечного обслуживания"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2 919 329,77</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2 858 135,26</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170 000,00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170 000,00</w:t>
            </w:r>
          </w:p>
        </w:tc>
      </w:tr>
      <w:tr w:rsidR="004517F0" w:rsidTr="004517F0">
        <w:trPr>
          <w:trHeight w:val="976"/>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12 000,00</w:t>
            </w:r>
          </w:p>
        </w:tc>
      </w:tr>
      <w:tr w:rsidR="004517F0" w:rsidTr="004517F0">
        <w:trPr>
          <w:trHeight w:val="1684"/>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1 788 617,70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1 788 617,70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874 800,07</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813 605,56</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1 000,00</w:t>
            </w:r>
          </w:p>
        </w:tc>
      </w:tr>
      <w:tr w:rsidR="004517F0" w:rsidTr="004517F0">
        <w:trPr>
          <w:trHeight w:val="2306"/>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12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Выполнение расходных обязательств на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03201L5191</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2397"/>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72 912,00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72 912,00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0330000000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1 558 224,09</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1 525 424,09</w:t>
            </w:r>
          </w:p>
        </w:tc>
      </w:tr>
      <w:tr w:rsidR="004517F0" w:rsidTr="004517F0">
        <w:trPr>
          <w:trHeight w:val="55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1 558 224,09</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1 525 424,09</w:t>
            </w:r>
          </w:p>
        </w:tc>
      </w:tr>
      <w:tr w:rsidR="004517F0" w:rsidTr="004517F0">
        <w:trPr>
          <w:trHeight w:val="1718"/>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960 297,76</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960 297,76</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516 170,33</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483 370,33</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300,00</w:t>
            </w:r>
          </w:p>
        </w:tc>
      </w:tr>
      <w:tr w:rsidR="004517F0" w:rsidTr="004517F0">
        <w:trPr>
          <w:trHeight w:val="1473"/>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26 040,00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26 040,00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18 960,00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18 960,00</w:t>
            </w:r>
          </w:p>
        </w:tc>
      </w:tr>
      <w:tr w:rsidR="004517F0" w:rsidTr="004517F0">
        <w:trPr>
          <w:trHeight w:val="2146"/>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bookmarkStart w:id="0" w:name="_GoBack"/>
            <w:r>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bookmarkEnd w:id="0"/>
      <w:tr w:rsidR="004517F0" w:rsidTr="004517F0">
        <w:trPr>
          <w:trHeight w:val="2618"/>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36 456,00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36 456,00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0400000000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239 629,88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239 629,88</w:t>
            </w:r>
          </w:p>
        </w:tc>
      </w:tr>
      <w:tr w:rsidR="004517F0" w:rsidTr="004517F0">
        <w:trPr>
          <w:trHeight w:val="31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"Пожарная безопасность"</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0410000000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112 629,88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112 629,88</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112 629,88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112 629,88</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0410100120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53 609,88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53 609,88</w:t>
            </w:r>
          </w:p>
        </w:tc>
      </w:tr>
      <w:tr w:rsidR="004517F0" w:rsidTr="004517F0">
        <w:trPr>
          <w:trHeight w:val="1421"/>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8 200,00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8 200,00</w:t>
            </w:r>
          </w:p>
        </w:tc>
      </w:tr>
      <w:tr w:rsidR="004517F0" w:rsidTr="004517F0">
        <w:trPr>
          <w:trHeight w:val="963"/>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48 000,00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48 000,00</w:t>
            </w:r>
          </w:p>
        </w:tc>
      </w:tr>
      <w:tr w:rsidR="004517F0" w:rsidTr="004517F0">
        <w:trPr>
          <w:trHeight w:val="41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Налоги на имущество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2 820,00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2 820,00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"Повышение безопасности дорожного движения"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0420000000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безопасности дорожного движения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0420100000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Мероприятия по обеспечению безопасности дорожного движения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0420110260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rPr>
                <w:color w:val="000000"/>
                <w:sz w:val="24"/>
                <w:szCs w:val="24"/>
              </w:rPr>
            </w:pPr>
            <w:r>
              <w:rPr>
                <w:color w:val="000000"/>
                <w:sz w:val="24"/>
                <w:szCs w:val="24"/>
              </w:rPr>
              <w:t> </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rPr>
                <w:color w:val="000000"/>
                <w:sz w:val="24"/>
                <w:szCs w:val="24"/>
              </w:rPr>
            </w:pPr>
            <w:r>
              <w:rPr>
                <w:color w:val="000000"/>
                <w:sz w:val="24"/>
                <w:szCs w:val="24"/>
              </w:rPr>
              <w:t> </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0430000000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127 000,00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127 000,00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0430100000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127 000,00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127 000,00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0430110270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35 000,00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35 000,00</w:t>
            </w:r>
          </w:p>
        </w:tc>
      </w:tr>
      <w:tr w:rsidR="004517F0" w:rsidTr="004517F0">
        <w:trPr>
          <w:trHeight w:val="31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Резервный фонд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0430110330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92 000,00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0500000000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472 000,00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472 000,00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0510000000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450 000,00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450 000,00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450 000,00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450 000,00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0510110190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200 000,00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200 000,00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0510110290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250 000,00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250 000,00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0520000000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22 000,00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0520100000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22 000,00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0520110300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0520110320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10 000,00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10 000,00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0600000000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822 436,00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822 481,00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0610000000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777 636,00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777 636,00</w:t>
            </w:r>
          </w:p>
        </w:tc>
      </w:tr>
      <w:tr w:rsidR="004517F0" w:rsidTr="004517F0">
        <w:trPr>
          <w:trHeight w:val="67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777 636,00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777 636,00</w:t>
            </w:r>
          </w:p>
        </w:tc>
      </w:tr>
      <w:tr w:rsidR="004517F0" w:rsidTr="004517F0">
        <w:trPr>
          <w:trHeight w:val="1829"/>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649 564,00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649 564,00</w:t>
            </w:r>
          </w:p>
        </w:tc>
      </w:tr>
      <w:tr w:rsidR="004517F0" w:rsidTr="004517F0">
        <w:trPr>
          <w:trHeight w:val="12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127 571,08</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127 571,08</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500,92</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500,92</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0620000000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44 800,00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44 845,00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44 800,00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44 845,00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Организация конкурсов и аукционов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0620110350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участие в межмуниципальном сотрудничестве (иные бюджетные ассигнования)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0620110370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8 000,00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публикации в средствах массовой информации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0620110380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0,00</w:t>
            </w:r>
          </w:p>
        </w:tc>
      </w:tr>
      <w:tr w:rsidR="004517F0" w:rsidTr="004517F0">
        <w:trPr>
          <w:trHeight w:val="1117"/>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0620151200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845,00</w:t>
            </w:r>
          </w:p>
        </w:tc>
      </w:tr>
      <w:tr w:rsidR="004517F0" w:rsidTr="004517F0">
        <w:trPr>
          <w:trHeight w:val="132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0620160010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36 000,00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36 000,00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0700000000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29 800,00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b/>
                <w:bCs/>
                <w:color w:val="000000"/>
                <w:sz w:val="24"/>
                <w:szCs w:val="24"/>
              </w:rPr>
            </w:pPr>
            <w:r>
              <w:rPr>
                <w:b/>
                <w:bCs/>
                <w:color w:val="000000"/>
                <w:sz w:val="24"/>
                <w:szCs w:val="24"/>
              </w:rPr>
              <w:t>29 800,00</w:t>
            </w:r>
          </w:p>
        </w:tc>
      </w:tr>
      <w:tr w:rsidR="004517F0" w:rsidTr="004517F0">
        <w:trPr>
          <w:trHeight w:val="3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i/>
                <w:iCs/>
                <w:color w:val="C0504D"/>
                <w:sz w:val="24"/>
                <w:szCs w:val="24"/>
              </w:rPr>
            </w:pPr>
            <w:r>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0710000000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i/>
                <w:iCs/>
                <w:color w:val="C0504D"/>
                <w:sz w:val="24"/>
                <w:szCs w:val="24"/>
              </w:rPr>
            </w:pPr>
            <w:r>
              <w:rPr>
                <w:i/>
                <w:iCs/>
                <w:color w:val="C0504D"/>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29 800,00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i/>
                <w:iCs/>
                <w:color w:val="C0504D"/>
                <w:sz w:val="24"/>
                <w:szCs w:val="24"/>
              </w:rPr>
            </w:pPr>
            <w:r>
              <w:rPr>
                <w:i/>
                <w:iCs/>
                <w:color w:val="C0504D"/>
                <w:sz w:val="24"/>
                <w:szCs w:val="24"/>
              </w:rPr>
              <w:t>29 800,00</w:t>
            </w:r>
          </w:p>
        </w:tc>
      </w:tr>
      <w:tr w:rsidR="004517F0" w:rsidTr="004517F0">
        <w:trPr>
          <w:trHeight w:val="63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29 800,00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29 800,00</w:t>
            </w:r>
          </w:p>
        </w:tc>
      </w:tr>
      <w:tr w:rsidR="004517F0" w:rsidTr="004517F0">
        <w:trPr>
          <w:trHeight w:val="94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поздравлений долгожителей юбиляров (предоставление субсидий бюджетным, автономным и иным некомерческим организациям)</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2 000,00</w:t>
            </w:r>
          </w:p>
        </w:tc>
      </w:tr>
      <w:tr w:rsidR="004517F0" w:rsidTr="004517F0">
        <w:trPr>
          <w:trHeight w:val="960"/>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некомерческим организациям)</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6 000,00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6 000,00</w:t>
            </w:r>
          </w:p>
        </w:tc>
      </w:tr>
      <w:tr w:rsidR="004517F0" w:rsidTr="004517F0">
        <w:trPr>
          <w:trHeight w:val="975"/>
        </w:trPr>
        <w:tc>
          <w:tcPr>
            <w:tcW w:w="6516"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некомерческим организациям)</w:t>
            </w:r>
          </w:p>
        </w:tc>
        <w:tc>
          <w:tcPr>
            <w:tcW w:w="23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2341"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21 800,00</w:t>
            </w:r>
          </w:p>
        </w:tc>
        <w:tc>
          <w:tcPr>
            <w:tcW w:w="2542" w:type="dxa"/>
            <w:tcBorders>
              <w:top w:val="nil"/>
              <w:left w:val="nil"/>
              <w:bottom w:val="single" w:sz="4" w:space="0" w:color="000000"/>
              <w:right w:val="single" w:sz="4" w:space="0" w:color="000000"/>
            </w:tcBorders>
            <w:shd w:val="clear" w:color="auto" w:fill="FFFFFF"/>
            <w:noWrap/>
            <w:hideMark/>
          </w:tcPr>
          <w:p w:rsidR="004517F0" w:rsidRDefault="004517F0">
            <w:pPr>
              <w:jc w:val="right"/>
              <w:rPr>
                <w:color w:val="000000"/>
                <w:sz w:val="24"/>
                <w:szCs w:val="24"/>
              </w:rPr>
            </w:pPr>
            <w:r>
              <w:rPr>
                <w:color w:val="000000"/>
                <w:sz w:val="24"/>
                <w:szCs w:val="24"/>
              </w:rPr>
              <w:t>21 800,00</w:t>
            </w:r>
          </w:p>
        </w:tc>
      </w:tr>
      <w:tr w:rsidR="004517F0" w:rsidTr="004517F0">
        <w:trPr>
          <w:trHeight w:val="315"/>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517F0" w:rsidRDefault="004517F0">
            <w:pPr>
              <w:rPr>
                <w:b/>
                <w:bCs/>
                <w:color w:val="000000"/>
                <w:sz w:val="24"/>
                <w:szCs w:val="24"/>
              </w:rPr>
            </w:pPr>
            <w:r>
              <w:rPr>
                <w:b/>
                <w:bCs/>
                <w:color w:val="000000"/>
                <w:sz w:val="24"/>
                <w:szCs w:val="24"/>
              </w:rPr>
              <w:t>Всего расходов:</w:t>
            </w:r>
          </w:p>
        </w:tc>
        <w:tc>
          <w:tcPr>
            <w:tcW w:w="2341" w:type="dxa"/>
            <w:tcBorders>
              <w:top w:val="nil"/>
              <w:left w:val="nil"/>
              <w:bottom w:val="single" w:sz="4" w:space="0" w:color="auto"/>
              <w:right w:val="single" w:sz="4" w:space="0" w:color="auto"/>
            </w:tcBorders>
            <w:shd w:val="clear" w:color="auto" w:fill="FFFFFF"/>
            <w:noWrap/>
            <w:hideMark/>
          </w:tcPr>
          <w:p w:rsidR="004517F0" w:rsidRDefault="004517F0">
            <w:pPr>
              <w:jc w:val="right"/>
              <w:rPr>
                <w:b/>
                <w:bCs/>
                <w:color w:val="000000"/>
                <w:sz w:val="24"/>
                <w:szCs w:val="24"/>
              </w:rPr>
            </w:pPr>
            <w:r>
              <w:rPr>
                <w:b/>
                <w:bCs/>
                <w:color w:val="000000"/>
                <w:sz w:val="24"/>
                <w:szCs w:val="24"/>
              </w:rPr>
              <w:t>18 098 474,36</w:t>
            </w:r>
          </w:p>
        </w:tc>
        <w:tc>
          <w:tcPr>
            <w:tcW w:w="2542" w:type="dxa"/>
            <w:tcBorders>
              <w:top w:val="nil"/>
              <w:left w:val="nil"/>
              <w:bottom w:val="single" w:sz="4" w:space="0" w:color="auto"/>
              <w:right w:val="single" w:sz="4" w:space="0" w:color="auto"/>
            </w:tcBorders>
            <w:shd w:val="clear" w:color="auto" w:fill="FFFFFF"/>
            <w:noWrap/>
            <w:hideMark/>
          </w:tcPr>
          <w:p w:rsidR="004517F0" w:rsidRDefault="004517F0">
            <w:pPr>
              <w:jc w:val="right"/>
              <w:rPr>
                <w:b/>
                <w:bCs/>
                <w:color w:val="000000"/>
                <w:sz w:val="24"/>
                <w:szCs w:val="24"/>
              </w:rPr>
            </w:pPr>
            <w:r>
              <w:rPr>
                <w:b/>
                <w:bCs/>
                <w:color w:val="000000"/>
                <w:sz w:val="24"/>
                <w:szCs w:val="24"/>
              </w:rPr>
              <w:t>17 728 196,05</w:t>
            </w:r>
          </w:p>
        </w:tc>
      </w:tr>
    </w:tbl>
    <w:p w:rsidR="00835257" w:rsidRDefault="00835257" w:rsidP="004517F0">
      <w:pPr>
        <w:rPr>
          <w:sz w:val="20"/>
          <w:lang w:eastAsia="ar-SA"/>
        </w:rPr>
      </w:pPr>
    </w:p>
    <w:p w:rsidR="00ED3EB2" w:rsidRDefault="00835257" w:rsidP="00835257">
      <w:pPr>
        <w:tabs>
          <w:tab w:val="left" w:pos="1140"/>
        </w:tabs>
        <w:rPr>
          <w:sz w:val="26"/>
          <w:szCs w:val="26"/>
        </w:rPr>
      </w:pPr>
      <w:r>
        <w:rPr>
          <w:sz w:val="20"/>
          <w:lang w:eastAsia="ar-SA"/>
        </w:rPr>
        <w:tab/>
      </w:r>
    </w:p>
    <w:sectPr w:rsidR="00ED3EB2" w:rsidSect="00835257">
      <w:pgSz w:w="16838" w:h="11906" w:orient="landscape"/>
      <w:pgMar w:top="426" w:right="539"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9C" w:rsidRDefault="00D46B9C" w:rsidP="00AB2780">
      <w:r>
        <w:separator/>
      </w:r>
    </w:p>
  </w:endnote>
  <w:endnote w:type="continuationSeparator" w:id="0">
    <w:p w:rsidR="00D46B9C" w:rsidRDefault="00D46B9C"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9C" w:rsidRDefault="00D46B9C" w:rsidP="00AB2780">
      <w:r>
        <w:separator/>
      </w:r>
    </w:p>
  </w:footnote>
  <w:footnote w:type="continuationSeparator" w:id="0">
    <w:p w:rsidR="00D46B9C" w:rsidRDefault="00D46B9C"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916A5"/>
    <w:rsid w:val="003553DD"/>
    <w:rsid w:val="003D5C13"/>
    <w:rsid w:val="00427F92"/>
    <w:rsid w:val="004477D2"/>
    <w:rsid w:val="004517F0"/>
    <w:rsid w:val="004F4943"/>
    <w:rsid w:val="00584700"/>
    <w:rsid w:val="0063626E"/>
    <w:rsid w:val="007215AF"/>
    <w:rsid w:val="00835257"/>
    <w:rsid w:val="008F48F5"/>
    <w:rsid w:val="00942BD3"/>
    <w:rsid w:val="00994020"/>
    <w:rsid w:val="00AB2780"/>
    <w:rsid w:val="00B243CE"/>
    <w:rsid w:val="00B252F4"/>
    <w:rsid w:val="00B7389B"/>
    <w:rsid w:val="00B925E6"/>
    <w:rsid w:val="00BD50E1"/>
    <w:rsid w:val="00CE36E1"/>
    <w:rsid w:val="00D46B9C"/>
    <w:rsid w:val="00DC1A33"/>
    <w:rsid w:val="00DD62B5"/>
    <w:rsid w:val="00ED3EB2"/>
    <w:rsid w:val="00EF024D"/>
    <w:rsid w:val="00F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7266-6F49-49F2-B1E3-A2803F70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22</cp:revision>
  <cp:lastPrinted>2018-12-21T11:04:00Z</cp:lastPrinted>
  <dcterms:created xsi:type="dcterms:W3CDTF">2018-11-15T12:48:00Z</dcterms:created>
  <dcterms:modified xsi:type="dcterms:W3CDTF">2019-01-31T10:35:00Z</dcterms:modified>
</cp:coreProperties>
</file>